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1C7B80" w:rsidRPr="001C7B80">
        <w:rPr>
          <w:rFonts w:ascii="Arial" w:hAnsi="Arial" w:cs="Arial"/>
          <w:sz w:val="22"/>
          <w:szCs w:val="22"/>
        </w:rPr>
        <w:t>Procedura comparativa per la selezione di una figura professionale per assistenza tecnica al percorso di valorizzazione dei borghi storici, nell’ambito dell’iniziativa “Anno dei borghi” proclamato dal MIBACT per il 2017”</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1C7B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1C7B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1C7B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1C7B8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1C7B80">
        <w:rPr>
          <w:rFonts w:ascii="Arial" w:hAnsi="Arial" w:cs="Arial"/>
          <w:sz w:val="22"/>
          <w:szCs w:val="22"/>
        </w:rPr>
        <w:t>10</w:t>
      </w:r>
      <w:r w:rsidR="002D5B28" w:rsidRPr="001C7B80">
        <w:rPr>
          <w:rFonts w:ascii="Arial" w:hAnsi="Arial" w:cs="Arial"/>
          <w:sz w:val="22"/>
          <w:szCs w:val="22"/>
        </w:rPr>
        <w:t>)</w:t>
      </w:r>
      <w:r w:rsidR="002D5B28" w:rsidRPr="001C7B80">
        <w:rPr>
          <w:rFonts w:ascii="Arial" w:hAnsi="Arial" w:cs="Arial"/>
          <w:sz w:val="22"/>
          <w:szCs w:val="22"/>
        </w:rPr>
        <w:tab/>
        <w:t xml:space="preserve">di aver conseguito un diploma di laurea, </w:t>
      </w:r>
      <w:r w:rsidR="00E31118" w:rsidRPr="001C7B80">
        <w:rPr>
          <w:rFonts w:ascii="Arial" w:hAnsi="Arial" w:cs="Arial"/>
          <w:sz w:val="22"/>
          <w:szCs w:val="22"/>
        </w:rPr>
        <w:t xml:space="preserve">e nello specifico </w:t>
      </w:r>
      <w:r w:rsidR="002D5B28" w:rsidRPr="001C7B80">
        <w:rPr>
          <w:rFonts w:ascii="Arial" w:hAnsi="Arial" w:cs="Arial"/>
          <w:sz w:val="22"/>
          <w:szCs w:val="22"/>
        </w:rPr>
        <w:t>_________________</w:t>
      </w:r>
      <w:r w:rsidR="00E31118" w:rsidRPr="001C7B80">
        <w:rPr>
          <w:rFonts w:ascii="Arial" w:hAnsi="Arial" w:cs="Arial"/>
          <w:sz w:val="22"/>
          <w:szCs w:val="22"/>
        </w:rPr>
        <w:t>________________________________________</w:t>
      </w:r>
      <w:r w:rsidR="002D5B28" w:rsidRPr="001C7B80">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1C7B80">
        <w:rPr>
          <w:rFonts w:ascii="Arial" w:hAnsi="Arial" w:cs="Arial"/>
          <w:sz w:val="22"/>
          <w:szCs w:val="22"/>
        </w:rPr>
        <w:t>11</w:t>
      </w:r>
      <w:r w:rsidR="002D5B28" w:rsidRPr="001C7B80">
        <w:rPr>
          <w:rFonts w:ascii="Arial" w:hAnsi="Arial" w:cs="Arial"/>
          <w:sz w:val="22"/>
          <w:szCs w:val="22"/>
        </w:rPr>
        <w:t>)</w:t>
      </w:r>
      <w:r w:rsidR="002D5B28" w:rsidRPr="001C7B80">
        <w:rPr>
          <w:rFonts w:ascii="Arial" w:hAnsi="Arial" w:cs="Arial"/>
          <w:sz w:val="22"/>
          <w:szCs w:val="22"/>
        </w:rPr>
        <w:tab/>
        <w:t>di aver</w:t>
      </w:r>
      <w:r w:rsidR="006D686D" w:rsidRPr="001C7B80">
        <w:rPr>
          <w:rFonts w:ascii="Arial" w:hAnsi="Arial" w:cs="Arial"/>
          <w:sz w:val="22"/>
          <w:szCs w:val="22"/>
        </w:rPr>
        <w:t>e</w:t>
      </w:r>
      <w:r w:rsidR="002D5B28" w:rsidRPr="001C7B80">
        <w:rPr>
          <w:rFonts w:ascii="Arial" w:hAnsi="Arial" w:cs="Arial"/>
          <w:sz w:val="22"/>
          <w:szCs w:val="22"/>
        </w:rPr>
        <w:t xml:space="preserve"> </w:t>
      </w:r>
      <w:r w:rsidR="006D686D" w:rsidRPr="001C7B80">
        <w:rPr>
          <w:rFonts w:ascii="Arial" w:hAnsi="Arial" w:cs="Arial"/>
          <w:sz w:val="22"/>
          <w:szCs w:val="22"/>
        </w:rPr>
        <w:t>un’</w:t>
      </w:r>
      <w:r w:rsidR="00E31118" w:rsidRPr="001C7B80">
        <w:rPr>
          <w:rFonts w:ascii="Arial" w:hAnsi="Arial" w:cs="Arial"/>
          <w:sz w:val="22"/>
          <w:szCs w:val="22"/>
        </w:rPr>
        <w:t xml:space="preserve">esperienza lavorativa di almeno 15 anni </w:t>
      </w:r>
      <w:r w:rsidR="001C7B80" w:rsidRPr="001C7B80">
        <w:rPr>
          <w:rFonts w:ascii="Arial" w:hAnsi="Arial" w:cs="Arial"/>
          <w:sz w:val="22"/>
          <w:szCs w:val="22"/>
        </w:rPr>
        <w:t>in programmazione territoriale strategica e sviluppo locale</w:t>
      </w:r>
      <w:r w:rsidR="000F4D45" w:rsidRPr="001C7B80">
        <w:rPr>
          <w:rFonts w:ascii="Arial" w:hAnsi="Arial" w:cs="Arial"/>
          <w:sz w:val="22"/>
          <w:szCs w:val="22"/>
        </w:rPr>
        <w:t>.</w:t>
      </w:r>
      <w:bookmarkStart w:id="0" w:name="_GoBack"/>
      <w:bookmarkEnd w:id="0"/>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C7B80"/>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3BDC-46E5-44E6-98C4-CA9D48FB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1264</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2017-07-31T15:21:00Z</dcterms:modified>
</cp:coreProperties>
</file>