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F34087"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F34087"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7602F6DD" w:rsidR="002F7AA4" w:rsidRDefault="00462B35" w:rsidP="003E20D1">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F34087" w:rsidRPr="00F34087">
        <w:rPr>
          <w:rFonts w:ascii="Times New Roman" w:hAnsi="Times New Roman" w:cs="Times New Roman"/>
          <w:b/>
        </w:rPr>
        <w:t>Procedura comparativa per l’affidamento di un Contratto di prestazione di Servizi per attività di monitoraggio e valutazione delle operazioni di cooperazione territoriale e per le attività di sensibilizzazione, informazione, formazione e orientamento allo sviluppo di iniziative promosse dal territorio afferenti la Cultura e la Creatività</w:t>
      </w:r>
      <w:r w:rsidR="003E20D1" w:rsidRPr="003E20D1">
        <w:rPr>
          <w:rFonts w:ascii="Times New Roman" w:hAnsi="Times New Roman" w:cs="Times New Roman"/>
          <w:b/>
        </w:rPr>
        <w:t xml:space="preserve">. </w:t>
      </w:r>
      <w:r w:rsidR="003E20D1">
        <w:rPr>
          <w:rFonts w:ascii="Times New Roman" w:hAnsi="Times New Roman" w:cs="Times New Roman"/>
          <w:b/>
        </w:rPr>
        <w:t xml:space="preserve">- </w:t>
      </w:r>
      <w:r w:rsidR="003E20D1" w:rsidRPr="003E20D1">
        <w:rPr>
          <w:rFonts w:ascii="Times New Roman" w:hAnsi="Times New Roman" w:cs="Times New Roman"/>
          <w:b/>
        </w:rPr>
        <w:t xml:space="preserve">CIG </w:t>
      </w:r>
      <w:r w:rsidR="00F34087" w:rsidRPr="00F34087">
        <w:rPr>
          <w:rFonts w:ascii="Times New Roman" w:hAnsi="Times New Roman" w:cs="Times New Roman"/>
          <w:b/>
        </w:rPr>
        <w:t>7676164AEA</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F3408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F3408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F3408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F3408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F3408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F3408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F3408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F3408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F3408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5F9BB212"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 xml:space="preserve">Con la firma del presente documento il sottoscritto dichiara altresì, ai sensi dell’art. 13 </w:t>
      </w:r>
      <w:bookmarkStart w:id="5" w:name="_GoBack"/>
      <w:bookmarkEnd w:id="5"/>
      <w:r w:rsidRPr="00644B1B">
        <w:rPr>
          <w:rFonts w:ascii="Times New Roman" w:hAnsi="Times New Roman" w:cs="Times New Roman"/>
        </w:rPr>
        <w:t>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 xml:space="preserve">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00BA115D" w:rsidRPr="00BA115D">
        <w:rPr>
          <w:rFonts w:ascii="Times New Roman" w:hAnsi="Times New Roman" w:cs="Times New Roman"/>
          <w:sz w:val="16"/>
          <w:szCs w:val="16"/>
        </w:rPr>
        <w:t>Iaa</w:t>
      </w:r>
      <w:proofErr w:type="spellEnd"/>
      <w:r w:rsidR="00BA115D" w:rsidRPr="00BA115D">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F4AD2"/>
    <w:rsid w:val="002058E7"/>
    <w:rsid w:val="00297C55"/>
    <w:rsid w:val="002B5885"/>
    <w:rsid w:val="002F355D"/>
    <w:rsid w:val="002F7AA4"/>
    <w:rsid w:val="0034362D"/>
    <w:rsid w:val="003E20D1"/>
    <w:rsid w:val="00445B24"/>
    <w:rsid w:val="0044786B"/>
    <w:rsid w:val="00462B35"/>
    <w:rsid w:val="004B354C"/>
    <w:rsid w:val="005210E0"/>
    <w:rsid w:val="005239C3"/>
    <w:rsid w:val="0053563C"/>
    <w:rsid w:val="0058446B"/>
    <w:rsid w:val="005B2AAC"/>
    <w:rsid w:val="00627CB2"/>
    <w:rsid w:val="00633378"/>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AF31DE"/>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34087"/>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E5A4-4ECD-48A5-9919-620EA6F5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3170</Words>
  <Characters>18075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13</cp:revision>
  <cp:lastPrinted>2017-04-26T08:59:00Z</cp:lastPrinted>
  <dcterms:created xsi:type="dcterms:W3CDTF">2017-11-09T16:42:00Z</dcterms:created>
  <dcterms:modified xsi:type="dcterms:W3CDTF">2018-10-31T13:52:00Z</dcterms:modified>
</cp:coreProperties>
</file>